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D7" w:rsidRDefault="00EE37D7" w:rsidP="00E1069E">
      <w:pPr>
        <w:tabs>
          <w:tab w:val="center" w:pos="7574"/>
        </w:tabs>
        <w:ind w:firstLine="720"/>
        <w:rPr>
          <w:rFonts w:ascii="Arial" w:hAnsi="Arial" w:cs="Arial"/>
          <w:sz w:val="18"/>
          <w:szCs w:val="18"/>
        </w:rPr>
        <w:sectPr w:rsidR="00EE37D7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EE37D7" w:rsidRDefault="00EE37D7">
      <w:pPr>
        <w:pStyle w:val="Heading1"/>
        <w:jc w:val="center"/>
      </w:pPr>
      <w:r>
        <w:t>FAYETTEVILLE TECHNICAL COMMUNITY COLLEGE</w:t>
      </w:r>
    </w:p>
    <w:p w:rsidR="00EE37D7" w:rsidRDefault="00EE37D7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EE37D7" w:rsidRDefault="00642D24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PAYROLL AND BENEFITS SPECIALIST</w:t>
      </w:r>
      <w:r w:rsidR="00B94F2E">
        <w:rPr>
          <w:rFonts w:ascii="Times New Roman" w:hAnsi="Times New Roman"/>
          <w:b/>
          <w:bCs/>
          <w:sz w:val="18"/>
        </w:rPr>
        <w:t xml:space="preserve"> </w:t>
      </w:r>
      <w:r w:rsidR="00EE37D7">
        <w:rPr>
          <w:rFonts w:ascii="Times New Roman" w:hAnsi="Times New Roman"/>
          <w:b/>
          <w:bCs/>
          <w:sz w:val="18"/>
        </w:rPr>
        <w:t>CERTIFICATE (C25120C</w:t>
      </w:r>
      <w:r>
        <w:rPr>
          <w:rFonts w:ascii="Times New Roman" w:hAnsi="Times New Roman"/>
          <w:b/>
          <w:bCs/>
          <w:sz w:val="18"/>
        </w:rPr>
        <w:t>19</w:t>
      </w:r>
      <w:r w:rsidR="00EE37D7">
        <w:rPr>
          <w:rFonts w:ascii="Times New Roman" w:hAnsi="Times New Roman"/>
          <w:b/>
          <w:bCs/>
          <w:sz w:val="18"/>
        </w:rPr>
        <w:t>)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755D27">
        <w:rPr>
          <w:rFonts w:ascii="Times New Roman" w:hAnsi="Times New Roman"/>
          <w:sz w:val="18"/>
        </w:rPr>
        <w:t>2</w:t>
      </w:r>
      <w:r w:rsidR="00C24F68">
        <w:rPr>
          <w:rFonts w:ascii="Times New Roman" w:hAnsi="Times New Roman"/>
          <w:sz w:val="18"/>
        </w:rPr>
        <w:t>2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E45CE5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EE37D7" w:rsidRDefault="00EE37D7">
      <w:pPr>
        <w:jc w:val="both"/>
        <w:rPr>
          <w:rFonts w:ascii="Times New Roman" w:hAnsi="Times New Roman"/>
          <w:sz w:val="18"/>
        </w:rPr>
      </w:pPr>
    </w:p>
    <w:p w:rsidR="00EE37D7" w:rsidRDefault="00EE37D7">
      <w:pPr>
        <w:rPr>
          <w:sz w:val="18"/>
        </w:rPr>
      </w:pPr>
      <w:r>
        <w:rPr>
          <w:rFonts w:ascii="Times New Roman" w:hAnsi="Times New Roman"/>
          <w:sz w:val="18"/>
        </w:rPr>
        <w:t>The</w:t>
      </w:r>
      <w:r w:rsidR="0072141A">
        <w:rPr>
          <w:rFonts w:ascii="Times New Roman" w:hAnsi="Times New Roman"/>
          <w:sz w:val="18"/>
        </w:rPr>
        <w:t xml:space="preserve"> </w:t>
      </w:r>
      <w:r w:rsidR="00642D24">
        <w:rPr>
          <w:rFonts w:ascii="Times New Roman" w:hAnsi="Times New Roman"/>
          <w:sz w:val="18"/>
        </w:rPr>
        <w:t>Payroll and Benefits Specialist</w:t>
      </w:r>
      <w:r w:rsidR="0072141A">
        <w:rPr>
          <w:rFonts w:ascii="Times New Roman" w:hAnsi="Times New Roman"/>
          <w:sz w:val="18"/>
        </w:rPr>
        <w:t xml:space="preserve"> certificate is designed to pr</w:t>
      </w:r>
      <w:r w:rsidR="006563D0">
        <w:rPr>
          <w:rFonts w:ascii="Times New Roman" w:hAnsi="Times New Roman"/>
          <w:sz w:val="18"/>
        </w:rPr>
        <w:t xml:space="preserve">epare </w:t>
      </w:r>
      <w:r w:rsidR="00642D24">
        <w:rPr>
          <w:rFonts w:ascii="Times New Roman" w:hAnsi="Times New Roman"/>
          <w:sz w:val="18"/>
        </w:rPr>
        <w:t>students to manage payroll and benefits in human resources.  Individuals will research and provide accurate information to employees in the public and private sectors.</w:t>
      </w:r>
      <w:r>
        <w:rPr>
          <w:rFonts w:ascii="Times New Roman" w:hAnsi="Times New Roman"/>
          <w:sz w:val="18"/>
        </w:rPr>
        <w:t xml:space="preserve">  </w:t>
      </w:r>
    </w:p>
    <w:p w:rsidR="00B94F2E" w:rsidRDefault="0072141A">
      <w:pPr>
        <w:pStyle w:val="NormalWeb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Course work includes</w:t>
      </w:r>
      <w:r w:rsidR="00A95C70">
        <w:rPr>
          <w:rFonts w:ascii="Times New Roman" w:hAnsi="Times New Roman" w:cs="Times New Roman"/>
          <w:sz w:val="18"/>
        </w:rPr>
        <w:t xml:space="preserve"> </w:t>
      </w:r>
      <w:r w:rsidR="00642D24">
        <w:rPr>
          <w:rFonts w:ascii="Times New Roman" w:hAnsi="Times New Roman" w:cs="Times New Roman"/>
          <w:sz w:val="18"/>
        </w:rPr>
        <w:t>financial and payroll accounting, compensation and benefits, employment law, and general human resources management practices.</w:t>
      </w:r>
    </w:p>
    <w:p w:rsidR="00EE37D7" w:rsidRDefault="00EE37D7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>Upon completion</w:t>
      </w:r>
      <w:r w:rsidR="005B0EBA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students should be</w:t>
      </w:r>
      <w:r w:rsidR="00642D24">
        <w:rPr>
          <w:rFonts w:ascii="Times New Roman" w:hAnsi="Times New Roman" w:cs="Times New Roman"/>
          <w:sz w:val="18"/>
        </w:rPr>
        <w:t xml:space="preserve"> able to research and analyze data in the areas of payroll, compensation and benefits, and employment law and regulations.</w:t>
      </w:r>
      <w:r w:rsidR="00B94F2E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</w:t>
      </w:r>
      <w:r w:rsidR="00CD4484">
        <w:rPr>
          <w:rFonts w:ascii="Times New Roman" w:hAnsi="Times New Roman" w:cs="Times New Roman"/>
          <w:sz w:val="18"/>
        </w:rPr>
        <w:t>Students may transfer these courses into the Associate degree Business Administration programs.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 Semesters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3D4A75">
        <w:rPr>
          <w:rFonts w:ascii="Times New Roman" w:hAnsi="Times New Roman"/>
          <w:sz w:val="18"/>
          <w:szCs w:val="18"/>
        </w:rPr>
        <w:t>, Placement Test Equivalent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93285">
        <w:tc>
          <w:tcPr>
            <w:tcW w:w="1008" w:type="dxa"/>
          </w:tcPr>
          <w:p w:rsidR="00E93285" w:rsidRDefault="00E93285" w:rsidP="00F7465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ACC120</w:t>
            </w:r>
          </w:p>
        </w:tc>
        <w:tc>
          <w:tcPr>
            <w:tcW w:w="2880" w:type="dxa"/>
          </w:tcPr>
          <w:p w:rsidR="00E93285" w:rsidRDefault="00E93285" w:rsidP="00F7465A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Financial Accounting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93285">
        <w:tc>
          <w:tcPr>
            <w:tcW w:w="1008" w:type="dxa"/>
          </w:tcPr>
          <w:p w:rsidR="00E93285" w:rsidRDefault="00E93285" w:rsidP="00F7465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BUS153 </w:t>
            </w:r>
          </w:p>
        </w:tc>
        <w:tc>
          <w:tcPr>
            <w:tcW w:w="2880" w:type="dxa"/>
          </w:tcPr>
          <w:p w:rsidR="00E93285" w:rsidRDefault="00E93285" w:rsidP="00F7465A">
            <w:r>
              <w:rPr>
                <w:rFonts w:ascii="Times New Roman" w:hAnsi="Times New Roman"/>
                <w:sz w:val="18"/>
                <w:szCs w:val="18"/>
              </w:rPr>
              <w:t>Human Resource Management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93285" w:rsidRDefault="00E93285" w:rsidP="00F746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A4FE0">
        <w:tc>
          <w:tcPr>
            <w:tcW w:w="1008" w:type="dxa"/>
          </w:tcPr>
          <w:p w:rsidR="00DA4FE0" w:rsidRDefault="00DA4FE0" w:rsidP="00DA4FE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BUS217</w:t>
            </w:r>
          </w:p>
        </w:tc>
        <w:tc>
          <w:tcPr>
            <w:tcW w:w="2880" w:type="dxa"/>
          </w:tcPr>
          <w:p w:rsidR="00DA4FE0" w:rsidRDefault="00DA4FE0" w:rsidP="00DA4FE0">
            <w:r>
              <w:rPr>
                <w:rFonts w:ascii="Times New Roman" w:hAnsi="Times New Roman"/>
                <w:sz w:val="18"/>
                <w:szCs w:val="18"/>
              </w:rPr>
              <w:t>Employment Law and Regs</w:t>
            </w:r>
          </w:p>
        </w:tc>
        <w:tc>
          <w:tcPr>
            <w:tcW w:w="1152" w:type="dxa"/>
          </w:tcPr>
          <w:p w:rsidR="00DA4FE0" w:rsidRDefault="00DA4FE0" w:rsidP="00DA4F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A4FE0" w:rsidRDefault="00DA4FE0" w:rsidP="00DA4F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A4FE0" w:rsidRDefault="00DA4FE0" w:rsidP="00DA4F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A4FE0" w:rsidRDefault="00DA4FE0" w:rsidP="00DA4F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>
        <w:trPr>
          <w:trHeight w:val="215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9F5F2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EE37D7" w:rsidRDefault="00E932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932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17424">
        <w:tc>
          <w:tcPr>
            <w:tcW w:w="1008" w:type="dxa"/>
          </w:tcPr>
          <w:p w:rsidR="00617424" w:rsidRDefault="00E93285" w:rsidP="00D871B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ACC140</w:t>
            </w:r>
          </w:p>
        </w:tc>
        <w:tc>
          <w:tcPr>
            <w:tcW w:w="2880" w:type="dxa"/>
          </w:tcPr>
          <w:p w:rsidR="00617424" w:rsidRDefault="00E93285" w:rsidP="00E93285">
            <w:r>
              <w:rPr>
                <w:rFonts w:ascii="Times New Roman" w:hAnsi="Times New Roman"/>
                <w:sz w:val="18"/>
                <w:szCs w:val="18"/>
              </w:rPr>
              <w:t>Payroll Accounting</w:t>
            </w:r>
          </w:p>
        </w:tc>
        <w:tc>
          <w:tcPr>
            <w:tcW w:w="1152" w:type="dxa"/>
          </w:tcPr>
          <w:p w:rsidR="00617424" w:rsidRDefault="00E93285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617424" w:rsidRDefault="00E93285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E93285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A4FE0">
        <w:tc>
          <w:tcPr>
            <w:tcW w:w="1008" w:type="dxa"/>
          </w:tcPr>
          <w:p w:rsidR="00DA4FE0" w:rsidRDefault="00DA4FE0" w:rsidP="00DA4F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 258</w:t>
            </w:r>
          </w:p>
        </w:tc>
        <w:tc>
          <w:tcPr>
            <w:tcW w:w="2880" w:type="dxa"/>
          </w:tcPr>
          <w:p w:rsidR="00DA4FE0" w:rsidRDefault="00DA4FE0" w:rsidP="00DA4F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Compensation and Benefits</w:t>
            </w:r>
          </w:p>
        </w:tc>
        <w:tc>
          <w:tcPr>
            <w:tcW w:w="1152" w:type="dxa"/>
          </w:tcPr>
          <w:p w:rsidR="00DA4FE0" w:rsidRDefault="00DA4FE0" w:rsidP="00DA4F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A4FE0" w:rsidRDefault="00DA4FE0" w:rsidP="00DA4F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A4FE0" w:rsidRDefault="00DA4FE0" w:rsidP="00DA4F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A4FE0" w:rsidRDefault="00DA4FE0" w:rsidP="00DA4F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87CCE">
        <w:tc>
          <w:tcPr>
            <w:tcW w:w="1008" w:type="dxa"/>
          </w:tcPr>
          <w:p w:rsidR="00487CCE" w:rsidRDefault="00487CCE" w:rsidP="00B027FB">
            <w:pPr>
              <w:rPr>
                <w:rStyle w:val="QuickFormat1"/>
              </w:rPr>
            </w:pPr>
          </w:p>
        </w:tc>
        <w:tc>
          <w:tcPr>
            <w:tcW w:w="2880" w:type="dxa"/>
          </w:tcPr>
          <w:p w:rsidR="00487CCE" w:rsidRDefault="00B91675" w:rsidP="00B91675">
            <w:pPr>
              <w:rPr>
                <w:rStyle w:val="QuickFormat1"/>
              </w:rPr>
            </w:pPr>
            <w:r>
              <w:rPr>
                <w:rStyle w:val="QuickFormat1"/>
              </w:rPr>
              <w:t>COM Elective</w:t>
            </w:r>
          </w:p>
        </w:tc>
        <w:tc>
          <w:tcPr>
            <w:tcW w:w="1152" w:type="dxa"/>
          </w:tcPr>
          <w:p w:rsidR="00487CCE" w:rsidRDefault="00487CCE" w:rsidP="00B027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87CCE" w:rsidRDefault="00487CCE" w:rsidP="00B027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87CCE" w:rsidRDefault="00487CCE" w:rsidP="00B027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87CCE" w:rsidRDefault="00487CCE" w:rsidP="00B027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 w:rsidTr="00E93285">
        <w:trPr>
          <w:trHeight w:val="80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E932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EE37D7" w:rsidRDefault="00E932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932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>TOTAL REQUIRED CREDITS.... 18</w:t>
      </w:r>
    </w:p>
    <w:p w:rsidR="00EE37D7" w:rsidRDefault="00EE37D7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Pr="008A14E9" w:rsidRDefault="00EE3463" w:rsidP="008A14E9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Style w:val="QuickFormat1"/>
          <w:color w:val="auto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EA5348">
        <w:rPr>
          <w:rFonts w:ascii="Times New Roman" w:hAnsi="Times New Roman"/>
          <w:b/>
          <w:bCs/>
          <w:sz w:val="18"/>
          <w:szCs w:val="18"/>
        </w:rPr>
        <w:t>Based Learning</w:t>
      </w:r>
      <w:r w:rsidR="00EE37D7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EE37D7">
        <w:rPr>
          <w:rFonts w:ascii="Times New Roman" w:hAnsi="Times New Roman"/>
          <w:sz w:val="18"/>
          <w:szCs w:val="18"/>
        </w:rPr>
        <w:t>NA</w:t>
      </w:r>
    </w:p>
    <w:sectPr w:rsidR="00EE37D7" w:rsidRPr="008A14E9">
      <w:endnotePr>
        <w:numFmt w:val="decimal"/>
      </w:endnotePr>
      <w:type w:val="continuous"/>
      <w:pgSz w:w="12240" w:h="15840"/>
      <w:pgMar w:top="340" w:right="1152" w:bottom="34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9E"/>
    <w:rsid w:val="00011664"/>
    <w:rsid w:val="0008766D"/>
    <w:rsid w:val="000B3F35"/>
    <w:rsid w:val="000B7129"/>
    <w:rsid w:val="000C0671"/>
    <w:rsid w:val="00170251"/>
    <w:rsid w:val="0017348C"/>
    <w:rsid w:val="001D5598"/>
    <w:rsid w:val="0022667D"/>
    <w:rsid w:val="002559B3"/>
    <w:rsid w:val="0029258F"/>
    <w:rsid w:val="002F2EB6"/>
    <w:rsid w:val="00326917"/>
    <w:rsid w:val="00380BF1"/>
    <w:rsid w:val="003D4A75"/>
    <w:rsid w:val="003F3B75"/>
    <w:rsid w:val="00417F46"/>
    <w:rsid w:val="00487CCE"/>
    <w:rsid w:val="004A31E2"/>
    <w:rsid w:val="004A7E86"/>
    <w:rsid w:val="00561F31"/>
    <w:rsid w:val="005B0EBA"/>
    <w:rsid w:val="005D79EC"/>
    <w:rsid w:val="00610FD3"/>
    <w:rsid w:val="00617424"/>
    <w:rsid w:val="00635A59"/>
    <w:rsid w:val="00642D24"/>
    <w:rsid w:val="006563D0"/>
    <w:rsid w:val="00657B75"/>
    <w:rsid w:val="006A443F"/>
    <w:rsid w:val="006A57FF"/>
    <w:rsid w:val="006B0138"/>
    <w:rsid w:val="0072141A"/>
    <w:rsid w:val="00732391"/>
    <w:rsid w:val="00755D27"/>
    <w:rsid w:val="00804EDE"/>
    <w:rsid w:val="00835744"/>
    <w:rsid w:val="00895189"/>
    <w:rsid w:val="00897EC5"/>
    <w:rsid w:val="008A14E9"/>
    <w:rsid w:val="008C08CA"/>
    <w:rsid w:val="00914BBF"/>
    <w:rsid w:val="00974777"/>
    <w:rsid w:val="009943A6"/>
    <w:rsid w:val="009A6A12"/>
    <w:rsid w:val="009B56D3"/>
    <w:rsid w:val="009F5F27"/>
    <w:rsid w:val="00A236E6"/>
    <w:rsid w:val="00A5770D"/>
    <w:rsid w:val="00A95C70"/>
    <w:rsid w:val="00A96CD5"/>
    <w:rsid w:val="00AB4815"/>
    <w:rsid w:val="00AE303A"/>
    <w:rsid w:val="00B63A3B"/>
    <w:rsid w:val="00B676AB"/>
    <w:rsid w:val="00B91675"/>
    <w:rsid w:val="00B94F2E"/>
    <w:rsid w:val="00BE16A3"/>
    <w:rsid w:val="00BE2D99"/>
    <w:rsid w:val="00C24F68"/>
    <w:rsid w:val="00C513BB"/>
    <w:rsid w:val="00CD4484"/>
    <w:rsid w:val="00D01EC4"/>
    <w:rsid w:val="00D871B1"/>
    <w:rsid w:val="00DA4FE0"/>
    <w:rsid w:val="00DF3DED"/>
    <w:rsid w:val="00E1069E"/>
    <w:rsid w:val="00E27C11"/>
    <w:rsid w:val="00E351B4"/>
    <w:rsid w:val="00E45CE5"/>
    <w:rsid w:val="00E57B36"/>
    <w:rsid w:val="00E80EB6"/>
    <w:rsid w:val="00E93285"/>
    <w:rsid w:val="00EA5348"/>
    <w:rsid w:val="00EB7A79"/>
    <w:rsid w:val="00ED53D0"/>
    <w:rsid w:val="00EE3463"/>
    <w:rsid w:val="00EE37D7"/>
    <w:rsid w:val="00F46436"/>
    <w:rsid w:val="00F849E5"/>
    <w:rsid w:val="00F9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ABDA9F-78F1-4648-9D2D-228B0816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3D4A75"/>
    <w:rPr>
      <w:b/>
      <w:bCs/>
      <w:szCs w:val="24"/>
    </w:rPr>
  </w:style>
  <w:style w:type="character" w:customStyle="1" w:styleId="Heading5Char">
    <w:name w:val="Heading 5 Char"/>
    <w:link w:val="Heading5"/>
    <w:rsid w:val="003D4A75"/>
    <w:rPr>
      <w:b/>
      <w:bCs/>
      <w:sz w:val="24"/>
      <w:szCs w:val="24"/>
    </w:rPr>
  </w:style>
  <w:style w:type="character" w:customStyle="1" w:styleId="TitleChar">
    <w:name w:val="Title Char"/>
    <w:link w:val="Title"/>
    <w:rsid w:val="003D4A7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209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1410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9</cp:revision>
  <cp:lastPrinted>2019-03-29T13:12:00Z</cp:lastPrinted>
  <dcterms:created xsi:type="dcterms:W3CDTF">2019-03-29T13:12:00Z</dcterms:created>
  <dcterms:modified xsi:type="dcterms:W3CDTF">2022-02-03T13:51:00Z</dcterms:modified>
</cp:coreProperties>
</file>